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13 320 vom 31. Mai 2010</w:t>
      </w:r>
    </w:p>
    <w:p>
      <w:r>
        <w:t>BL Gerichte, 2010-05-31, DE</w:t>
      </w:r>
    </w:p>
    <w:p>
      <w:r>
        <w:rPr>
          <w:b/>
        </w:rPr>
        <w:t xml:space="preserve">Quelle: </w:t>
      </w:r>
      <w:r>
        <w:t>https://mcp.opencaselaw.ch/entscheid/bl_gerichte_810 13 320</w:t>
      </w:r>
    </w:p>
    <w:p>
      <w:r>
        <w:t>FR: BL_GERICHTE 810 13 320 du 31 mai 2010</w:t>
      </w:r>
    </w:p>
    <w:p>
      <w:r>
        <w:t>IT: BL_GERICHTE 810 13 320 del 31 maggio 2010</w:t>
      </w:r>
    </w:p>
    <w:p>
      <w:pPr>
        <w:pStyle w:val="Heading2"/>
      </w:pPr>
      <w:r>
        <w:t>Regeste</w:t>
      </w:r>
    </w:p>
    <w:p>
      <w:r>
        <w:t>Revision der Zonenvorschriften Siedlung und Landschaft mit Zuweisung der Lärmempfindlichkeitsstufen</w:t>
      </w:r>
    </w:p>
    <w:p>
      <w:pPr>
        <w:pStyle w:val="Heading2"/>
      </w:pPr>
      <w:r>
        <w:t>Erwägungen</w:t>
      </w:r>
    </w:p>
    <w:p>
      <w:r>
        <w:rPr>
          <w:b/>
        </w:rPr>
        <w:t>E. 2</w:t>
      </w:r>
    </w:p>
    <w:p>
      <w:r>
        <w:t>75 20 7.5 10.5 25 W3</w:t>
      </w:r>
    </w:p>
    <w:p>
      <w:r>
        <w:rPr>
          <w:b/>
        </w:rPr>
        <w:t>E. 3</w:t>
      </w:r>
    </w:p>
    <w:p>
      <w:r>
        <w:t>110 10 10.5 13.5 35 WG4</w:t>
      </w:r>
    </w:p>
    <w:p>
      <w:r>
        <w:rPr>
          <w:b/>
        </w:rPr>
        <w:t>E. 4</w:t>
      </w:r>
    </w:p>
    <w:p>
      <w:r>
        <w:t>120 13.5 16.5 Z 13.5 16.5 4.4.4. Selbst wenn – zugunsten der Gemeinde – davon ausgegangen wird, dass Gemeinden aufgrund der erwähnten offenen Formulierung in § 18 Abs. 3 RBG ganz auf Nutzungsziffern im weiteren Sinne verzichten und die maximal zulässige bauliche Nutzung einzig mit primären Bauvorschriften (d.h. Abstandsvorschriften, Höhenvorschriften, Geschosszahl, Gebäudelänge und -breite, etc.) definieren dürfen, genügt die von der Gemeinde getroffene Regelung in Bezug auf die Zentrumszone den Anforderungen gemäss § 18 Abs. 3 RBG nicht. Dies insbesondere, weil die Gemeinde auch in Bezug auf die primären Bauvorschriften einzig die maximale Fassaden- und Gebäudehöhe vorgeschrieben hat, womit die maximal zulässige Nutzung dieser Zone, in welcher Wohnnutzung zugelassen ist, ungenügend definiert ist. Eine rechtsgenügliche Regelung der Zentrumszone findet sich im Übrigen auch nicht in Ziff. 5 des Zonenreglements. Diesbezüglich wird lediglich bestimmt, dass die Zentrumszone den Nutzungen gemäss § 22 Abs. 2 RBG dient (Ziff. 5 Abs. 1 Zonenreglement). Gemäss § 22 Abs. 2 RBG umfassen Zentrumszonen Gebiete, die zur Entwicklung von Orts- und Quartierzentren bestimmt sind; darin zugelassen sind Wohnnutzung sowie mässig störende Betriebe. Damit übereinstimmend verlangen Ziff. 5 Abs. 3 und 4 des Zonenreglements, dass in der Zentrumszone eine Mischnutzung mit Arbeiten und Wohnen sicherzustellen sei und dass im Erdgeschoss keine neuen zur Hauptstrasse hin orientierten Wohnnutzungen zulässig seien. Das Mass der Nutzung wird indes nirgends ausreichend definiert. Ebenfalls zu berücksichtigen ist dabei, wie der Regierungsrat zu Recht vorbringt (vgl. Vernehmlassung vom 24. Januar 2014, S. 7), dass die ausgeschiedenen Zentrumszonen mehrheitlich nicht von Ortsbildschutzoder Ortsbildschonzonen überlagert sind, für welche die Zonenreglementsbestimmungen noch spezifische Zusatzanforderungen definieren. Ebenso besteht in der Zentrumszone Binningen keine Verpflichtung, eine zusätzliche Ausgestaltung der Zonenordnung mittels Erlasses eines Sondernutzungplans (z.B. eines Quartierplans in Sinne von § 37 ff. RBG) vorzunehmen. Dies im Unterschied etwa zur Gemeinde Pratteln, welche im Rahmen der letzten Zonenplanrevision zwar auch Zentrumszonen (mit Wohnnutzung) festgelegt hat, in welchen nur die Gebäudehöhen festgelegt wurden. In der Gemeinde Pratteln gilt indes gemäss den Zonenvorschriften in den Zentrumszonen zusätzlich eine Quartierplanpflicht. Demgemäss kann die Beschwerdeführerin aus der Genehmigung der Zonenvorschriften der Gemeinde Pratteln durch den Regierungsrat nichts zu ihren Gunsten ableiten. 4.4.5. Soweit die Beschwerdeführerin im Übrigen geltend macht, mit der Angabe eines Nutzungsmasses sei ein verdichtetes, urbanes Bauen nicht möglich, ist ihr zu entgegnen, dass § 15 Abs. 2 RBG ausdrücklich vorsieht, dass die Gemeinden die verdichtete Bauweise fördern, soweit dem nicht Interessen des Ortsbild- und Landschaftsschutzes oder andere übergeordnete Planungsziele entgegenstehen. Die verdichtete Bauweise muss aber eine hohe Siedlungs- und Wohnqualität sowie eine gute Einfügung in die landschaftliche und bauliche Umgebung gewährleisten. Die verdichtete Bauweise ist insbesondere sicherzustellen durch Quartierpläne und Ausnahmeüberbauungen nach einheitlichem Plan (§ 15 Abs. 3 RBG). Auch aus den Gesetzes-materialien des RBG ergibt sich, dass für die verdichtete Bauweise eine hohe Siedlungs- und Wohnqualität sowie eine gute Einfügung in die Umgebung gewährleistet sein müsse, weshalb eine Erhöhung der maximal zulässigen baulichen Nutzung allein nicht ausreiche. Daher sei die verdichtete Bauweise primär durch Quartierpläne sicherzustellen (§§ 38-48 RBG). Neben den Quartierplänen soll die Ausnahmeüberbauung nach einheitlichem Plan (§ 51 RBG) Anreize schaffen, verdichtet zu bauen, zumal bei dieser Überbauungsart die Bewilligungsbehörde Ausnahmen von Grenz- und Gebäudeabstandsvorschriften gestatten könne, falls die Anforderungskriterien an eine solche Überbauung gegeben seien (vgl. Vorlage an den Landrat Nr. 93/308, Raumplanungs- und Baugesetz, § 16). Die Verweigerung der Genehmigung der Zentrumszone führt damit keineswegs dazu, dass die von der Beschwerdeführerin beabsichtigte verdichtete Bauweise verunmöglicht würde, vielmehr hat die Gemeinde bloss mit geeigneten planungsrechtlichen Massnahmen die vom RBG vorgesehene hohe Siedlungs- und Wohnqualität sowie die gute Einfügung in die landschaftliche und bauliche Umgebung zu gewährleisten.</w:t>
      </w:r>
    </w:p>
    <w:p>
      <w:r>
        <w:rPr>
          <w:b/>
        </w:rPr>
        <w:t>E. 4.5</w:t>
      </w:r>
    </w:p>
    <w:p>
      <w:r>
        <w:t>Unter Beachtung der genannten Umstände ist die Nichtgenehmigung der Nutzungsvorschriften der Zentrumszonen durch den Regierungsrat somit gerechtfertigt und die Beschwerde ist in diesem Punkt abzuweisen. 5.1. Sodann verweigerte der Regierungsrat seine Zustimmung zur Schaffung der "Spezialzone Hippotherapie Sp HAT" (Ziff. 13 des Zonenreglements). Dazu führte der Regierungsrat im Wesentlichen aus, die Spezialzone liege gemäss kantonalem Richtplan innerhalb des Vorranggebietes Landschaft und tangiere Fruchtfolgeflächen. Vorranggebiete Landschaft seien im Grundsatz von neuen Bauten und Anlagen – mit Ausnahme von zonenkonformen Bauten und Anlagen zur landwirtschaftlichen Bewirtschaftung – freizuhalten. Die Spezialzone Hippotherapie erlaube jedoch das Errichten von Bauten und Anlagen, die nicht der landwirtschaftlichen Bewirtschaftung dienen würden. Somit stehe die zonenrechtliche Festlegung dieser Spezialzone mit den Planungsgrundsätzen des kantonalen Richtplans im Widerspruch. Bestehende rechtmässig erstellte Bauten und Anlagen würden hingegen Bestandesschutz geniessen. 5.2. Dagegen bringt die Beschwerdeführerin vor, dass die Zonen "Vorranggebiet Landschaft" und "Fruchtfolgeflächen" im Richtplan nicht parzellenscharf definiert seien. Bei der Hippotherapie handle es sich um einen vorbestandenen Betrieb, der heute in der Landwirtschaftszone liege. Unmittelbar nördlich würden sich drei Parzellen befinden, welche nichtlandwirtschaftliche Wohnnutzungen aufweisen würden. Der Zonenplan sehe auf der ganzen Parzelle die entsprechende Spezialzone vor, definiere jedoch unmittelbar hinter dem bestehenden Gebäude eine Freihaltezone. Damit werde gewährleistet, dass lediglich im Umfeld der bereits vorbestehenden Bauten zonenkonform zur Benkenstrasse hin allenfalls Ersatz- oder Ergänzungsbauten erstellt werden könnten und dass der hintere Teil von Überbauungen freigehalten werde. 5.3. In der Vernehmlassung macht der Beschwerdegegner geltend, es handle sich nicht um eine eigentliche Baugebietserweiterung, sondern um eine Kleinbauzone im Landwirtschaftsgebiet. Es liege im vorliegenden Fall kein besonderer Grund vor, um ausnahmsweise eine solche grundsätzlich gesetzwidrige Kleinbauzone zu rechtfertigen. Die Spezialzone als Kleinbauzone auszuscheiden würde voraussetzen, dass die Gemeinde einen entsprechenden Bedarfsnachweis erbringe, die Standortgebundenheit gegeben sei und eine entsprechende Ersatzfläche als Kompensation ausgewiesen werde. Diese Voraussetzungen seien nicht erfüllt. Dies sei umso gravierender, als aus dem Prüfungsbericht des Bundes zum Richtplan des Kantons Basel-Landschaft vom 2. August 2010 klar ersichtlich sei, dass der Kanton alle Mühe habe, die von ihm gemäss Bundessachplan verlangte Fruchtfolgefläche beibringen zu können. Die Nichtgenehmigung sei auch verhältnismässig, da die bestehenden Gebäulichkeiten der Stiftung im Genuss des Besitzstandes seien. Insoweit sei der Fortbestand des Therapiezentrums in keiner Weise gefährdet. Die einzige Einschränkung bestehe darin, dass die bestehenden Bauten und Anlagen nur "angemessen erweitert" werden dürften und dass zusätzliche Neubauten eine Ausnahmebewilligung gemäss Art. 24 RPG voraussetzen würden. 5.4.1. Bund, Kantone und Gemeinden sorgen gemäss Art. 1 Abs. 1 RPG dafür, dass der Boden haushälterisch genutzt und das Baugebiet vom Nichtbaugebiet getrennt wird. Sie stimmen ihre raumwirksamen Tätigkeiten aufeinander ab und verwirklichen eine auf die erwünschte Entwicklung des Landes ausgerichtete Ordnung der Besiedlung, wobei sie auf die natürlichen Gegebenheiten und auf die Bedürfnisse von Bevölkerung und Wirtschaft achten. Sie unterstützen mit Massnahmen der Raumplanung insbesondere die Bestrebungen, die natürlichen Lebensgrundlagen wie Boden, Luft, Wasser, Wald und Landschaft zu schützen (Art. 1 Abs. 2 lit. a RPG) und die ausreichende Versorgungsbasis des Landes zu sichern (Art. 1 Abs. 2 lit. d RPG). Die mit Planungsaufgaben betrauten Behörden müssen darauf achten, die Landschaft zu schonen; insbesondere sollen der Landwirtschaft genügende Flächen geeigneten Kulturlandes, insbesondere Fruchtfolgeflächen, erhalten bleiben (Art. 3 Abs. 2 lit. a RPG; Fassung gemäss Ziff. I des Bundesgesetzes vom 15. Juni 2012, in Kraft seit 1. Mai 2014). Fruchtfolgeflächen sind Teil der für die Landwirtschaft geeigneten Gebiete (Art. 6 Abs. 2 lit. a RPG). Sie umfassen das ackerfähige Kulturland, vorab das Ackerland und die Kunstwiesen in Rotation sowie die ackerfähigen Naturwiesen, und werden mit Massnahmen der Raumplanung gesichert (Art. 26 Abs. 1 der Raumplanungsverordnung [RPV] vom 28. Juni 2000). Ein Mindestumfang an Fruchtfolgeflächen wird benötigt, damit in Zeiten gestörter Zufuhr die ausreichende Versorgungsbasis des Landes im Sinne der Ernährungsplanung gewährleistet werden kann (Art. 26 Abs. 3 RPV). Der Bund hat im Sachplan Fruchtfolgeflächen vom 8. April 1992 (Bundesblatt [BBl] 1992 II 1649) den Mindestumfang der Fruchtfolgeflächen und deren Aufteilung auf die Kantone festgelegt (Art. 29 RPV). Art. 30 Abs. 1 RPV verpflichtet die Kantone, dafür zu sorgen, dass die Fruchtfolgeflächen den Landwirtschaftszonen zugeteilt werden; sie zeigen in ihren Richtplänen die dazu erforderlichen Massnahmen. Nach Art. 30 Abs. 1 bis RPV (in Kraft seit 1. Mai 2014) dürfen Fruchtfolgeflächen nur eingezont werden, wenn ein aus der Sicht des Kantons wichtiges Ziel ohne die Beanspruchung von Fruchtfolgeflächen nicht sinnvoll erreicht werden kann (lit. a); und sichergestellt ist, dass die beanspruchten Flächen nach dem Stand der Erkenntnisse optimal genutzt werden (lit. b). Die Kantone haben sicherzustellen, dass ihr Anteil am Mindestumfang der Fruchtfolgeflächen dauernd erhalten bleibt (Art. 30 Abs. 2 RPV). 5.4.2. Nach der bundesgerichtlichen Rechtsprechung ist dem Kulturlandschutz und der Fruchtfolgeflächensicherung grosses Gewicht beizumessen (BGE 115 Ia 350, E. 3f/bb). Dennoch ist es nicht von vornherein ausgeschlossen, Fruchtfolgeflächen zu anderen als landwirtschaftlichen Zwecken in Anspruch zu nehmen, wenn dies durch entgegenstehende, höher zu gewichtende Interessen gerechtfertigt erscheint. Hierfür ist eine umfassende Abwägung aller privaten und öffentlichen Interessen erforderlich (Art. 3 RPV; Urteil des Bundesgerichts [1A.19/2007] vom 2. April 2008, E. 5.2.). Hierzu muss ermittelt werden, in welchem Ausmass Fruchtfolgeflächen beansprucht werden und inwiefern diese im Krisenfall wieder rekultiviert werden können. Zu prüfen ist auch, ob eine Kompensationsmöglichkeit für Fruchtfolgeflächen besteht, die aufgrund der Inanspruchnahme für landwirtschaftsfremde Zwecke verloren gehen; dies gilt jedenfalls, wenn der bundesrechtlich gebotene Mindestumfang an Fruchtfolgeflächen nur knapp gewährleistet oder gar unterschritten wird (Urteil des Bundesgerichts [1A.19/2007] vom 2. April 2008, E. 5.2. mit Verweis auf BGE 114 Ia 371 E. 5d). 5.5. Mit der Revision der Zonenplanung sollte die Parzelle Nr. 1042 mit einer Gesamtfläche von 11'849 m 2 von der bisherigen Landwirtschaftszone in eine Hippotherapiezone umgezont werden. Die Parzelle besteht mehrheitlich (zu 8'767 m 2 ) aus Acker, Wiese und Weide, wobei sich 9'565 m 2 der Parzelle auf Fruchtfolgeflächen der Güteklasse 1 befinden. Mit der Umzonung würden somit Fruchtfolgeflächen von der bisherigen Landwirtschaftszone in eine Hippotherapiezone umgezont werden. Gemäss Ziff. 13 des Zonenreglements Siedlung dient diese Zone der Hippotherapie. Darin ist das Erstellen von Bauten und Anlagen für die Hippotherapie zulässig, wobei die maximale Geschossflächenziffer 80 % und die minimale Grünflächenziffer 10 % beträgt (Ziff. 3 Zonenreglement). Dem Planungsbericht der Gemeinde vom 15. Februar 2012 ist in Bezug auf die Umzonung lediglich zu entnehmen, dass seit längerem in diesem Gebiet ein Dienstleistungsbetrieb für Therapien mit Pferden bestehe und dass die Gemeinde die Nachfrage nach solchen Kur- und Heilmethoden anerkenne. Entsprechend werde im Zonenplan die Spezialzone definiert (Planungsbericht vom 15. Februar 2012, S. 29). Nicht aktenkundig ist hingegen, dass die Beschwerdeführerin eine umfassende Abwägung aller privaten und öffentlichen Interessen vorgenommen und dass sie geprüft hat, ob Alternativstandorte existieren oder eine Kompensationsmöglichkeit für die Fruchtfolgeflächen besteht, die aufgrund der Inanspruchnahme für landwirtschaftsfremde Zwecke verloren gingen. Demzufolge erweist sich die von der Beschwerdeführerin vorgenommene raumplanerische Interessenabwägung als unzureichend. Mit der Umzonung und der darin zugelassenen Nutzung können die als Fruchtfolgefläche ausgeschiedenen Teile des Grundstücks intensiver zu nichtlandwirtschaftlichen Zwecken genutzt werden, als dies mit der bisherigen Nutzung der Fall war. Eine solche Ausdehnung nichtlandwirtschaftlicher Nutzung von Fruchtfolgeflächen ist jedoch mit der Pflicht der Kantone zur dauernden Erhaltung ihrer Fruchtfolgeflächen (Art. 30 RPV) kaum vereinbar (vgl. Urteil des Bundesgerichts [1C_312/2012] vom 17. April 2013, E. 2.4.3.). Die Nichtgenehmigung der Umzonung durch den Regierungsrat ist demzufolge nicht zu bemängeln. 6.1. Schliesslich genehmigte der Regierungsrat Ziff. 20 Abs. 2 bis 4 des Zonenreglements ("Zone Wärmeverbund") nicht, was er im Wesentlichen mit einer fehlenden kantonalen gesetzlichen Grundlage begründete, welche der Gemeinde eine Festlegung einer Anschlusspflicht an das Wärmeverbundnetz der "A. AG" erlauben würde. Entsprechend könne dieser starke Eingriff ins Grundeigentum nicht genehmigt werden. Überdies sei eine Einschränkung auf das gemeindeeigene Wärmeverbundnetz der "A. AG " als unzulässige Wettbewerbsbeschränkung anzusehen. 6.2. Gegen die (teilweise) Nichtgenehmigung der überlagerten Zone Wärmeverbund bringt die Beschwerdeführerin primär vor, es sei widersprüchlich, dass der Regierungsrat vom Grundsatz her die Zone für Wärmeverbund genehmige und zugleich ausführe, eine Anschlusspflicht könne nicht verlangt werden. Grundsätzlich mache eine solche Zone nur Sinn, wenn eine Anschlusspflicht bestehe. Nach den Zielen des RBG stelle sich die Frage, ob die Gemeinden nicht sogar verpflichtet wären, Überlegungen anzustellen, wie sie im Zonenplan der Gemeinde nun stattfänden. Mit der Einfügung einer Zone für Wärmeverbund bezwecke die Gemeinde im Sinne von § 3 lit. a und d RBG natürliche Lebensgrundlagen zu schützen und im Rahmen der ökologischen Gegebenheiten mit natürlichen Ressourcen haushälterisch und nachhaltig umzugehen. Dementsprechend werde die Auffassung vertreten, über eine genügende gesetzliche Grundlage zu verfügen. Die Massnahme liege auch im öffentlichen Interesse und sie sei verhältnismässig. Der Eingriff in die Eigentumsrechte der Privaten wiege relativ gering, gehe es letztlich doch einzig darum zu bestimmen, welcher Energieträger in der Zone für Wärmeverbund gewählt werden müsse. Ein Anschluss werde nicht wesentlich teurer zu stehen kommen als die Wahl eines anderen Energieträgers. Der Gemeinderat könne die Anschlusspflicht im Einzelnen auch aufheben, wenn die A. AG nachweisen könne, dass eine Erschliessung mit Fernwärme wirtschaftlich nicht tragbar sei oder die technischen Anforderungen für eine Erschliessung nicht gegeben seien. Ausserdem könne jeder Eigentümer entsprechend begründete Ausnahmeanträge an den Gemeinderat stellen. 6.3. In Bezug auf die Zone Wärmeverbund gibt der Beschwerdegegner der Beschwerdeführerin Recht, dass ohne Anschlusspflicht die Ausscheidung einer Zone für Wärmeverbund faktisch nur orientierenden Charakter habe. Bei der Festsetzung einer derartigen Zone handle es sich aber nicht um eine Nutzungsplanung im Sinne des Bundesrechts. Ein weiteres Faktum sei, dass weder Bundesrecht noch kantonales Recht eine gesetzliche Grundlage enthalten würden, welche es den Gemeinden erlauben würde, einen Anschlusszwang an ein Wärmeverbundnetz verbindlich vorzuschreiben. Selbst wenn die Gemeinde berechtigt wäre, auf kommunaler Reglementsstufe eine entsprechende Anschlussverpflichtung zu stipulieren, so gehöre diese nicht in ein kommunales Rahmennutzungsplanungsreglement. Durch Festschreibung einer Anschlusspflicht werde überdies zugunsten der Fernwärmebetreiberschaft ein Monopol begründet, welches einen direkten Konnex zum bundesverfassungsmässig gewährleisteten Grundsatz der Wirtschaftsfreiheit habe. Die kantonale Verordnung über die rationelle Energienutzung sehe in § 15 Abs. 4 explizit Alternativen zur Fernwärme vor (z.B. Sonnenenergie, Geothermie und Holzenergie) und die kommunale Bestimmung sei mit dieser kantonalrechtlichen Bestimmung nicht in Einklang zu bringen. Im Rahmen der laufenden Totalrevision des kantonalen Energiegesetzes sei vorgesehen, einen Passus aufzunehmen, welcher es den Gemeinden erlaube, unter gewissen Voraussetzungen eine Anschlusspflicht an Fernwärmeoder Kälteversorgungsnetze festzulegen, wobei aber die Gemeinde stets den doppelten Nachweis werde erbringen müssen, dass der Wärmepreis längerfristig nicht wesentlich höher sein werde als bei einer anderen Wärmeversorgung und dass die Versorgungssicherheit gesichert sei. Die von der Beschwerdeführerin vorgesehenen Einschränkungen seien indes auch nicht verhältnismässig. Über Ausnahmen von der Anschlusspflicht werde nur unter der Betrachtung der Wirtschaftlichkeit und technischen Machbarkeit aus Optik des Fernwärmebetreibers geurteilt. 6.4.1. Zweifelhaft erscheint, ob – wie der Regierungsrat im angefochtenen Entscheid ausführt – eine Stipulierung einer Anschlusspflicht an ein Wärmeverbundnetz innerhalb der Rahmennutzungsplanung in der Tat nicht möglich wäre (vorausgesetzt, es existiert eine genügende gesetzliche Grundlage). Immerhin ist diesbezüglich zu erwähnen, dass der Kanton Bern in Art. 13 des Kantonalen Energiegesetzes (KEnG BE) vom 15. Mai 2011 eine gesetzliche Grundlage geschaffen hat, wonach die Gemeinden für das ganze Gemeindegebiet oder für Teile davon in der baurechtlichen Grundordnung (und damit in der Rahmennutzungsplanung) oder in Überbauungsordnungen die Verpflichtung einführen können – bei Gebäuden, die neu erstellt oder so umgebaut oder umgenutzt werden, dass die Energienutzung beeinflusst wird – einen bestimmten erneuerbaren Energieträger einzusetzen oder das Gebäude an ein Fernwärmeoder Fernkälteverteilnetz anzuschliessen (Art. 13 Abs. 1 lit. a KEnG BE). Von untergeordneter Bedeutung ist im Übrigen, in welchem Gesetz (z.B. Baugesetz oder Energiegesetz) sich die gesetzliche Grundlage befindet. Im Kanton Zürich bestimmt beispielsweise § 295 Abs. 2 des Planungs- und Baugesetzes vom 7. September 1975, dass der Staat oder die Gemeinde Grundeigentümer verpflichten können, ihr Gebäude innert angemessener Frist an das Leitungsnetz anzuschliessen und Durchleitungsrechte zu gewähren, wenn eine öffentliche Fernwärmeversorgung lokale Abwärme oder erneuerbare Energien nutzt und die Wärme zu technisch und wirtschaftlich gleichwertigen Bedingungen wie aus konventionellen Anlagen anbietet. 6.4.2. Wie der Regierungsrat aber zu Recht vorbringt, fehlt im Kanton Basel-Landschaft eine entsprechende gesetzliche Grundlage, welche es den Gemeinden erlauben würde, einen Anschlusszwang an ein Wärmeverbundnetz verbindlich vorzuschreiben. Ein Blick in die Materialen des RBG zeigt zudem, dass es sich dabei um einen bewussten Entscheid des kantonalen Gesetzgebers gegen eine derartige Anschlusspflicht gehandelt hat. § 37 Abs. 2 des Entwurfs des RBG zur Vorlage an den Landrat (93/308) sah nämlich noch vor, dass die Erschliessungsreglemente für genau bezeichnete Gebiete die Anschlusspflicht an bestimmte im öffentlichen Interesse errichtete Energieversorgungsnetze vorsehen können. In der ersten Lesung des Landrats wurde diese Bestimmung jedoch kontrovers diskutiert; und letztlich wurde ein Antrag auf Streichung des § 37 Abs. 2 Entwurf-RBG mehrheitlich gutgeheissen (vgl. dazu Protokoll der Landratssitzung vom 13. November 1997, 2. Bericht der Spezialkommission RBG an den Landrat vom 5. Dezember 1997 [Geschäft 93/308a]). Seither gab es zwar politische Bestrebungen zur Schaffung der gesetzlichen Grundlagen einer Anschlusspflicht an Wärmeverbundanlagen. Eine entsprechende Änderung der kantonalen Gesetzgebung ist bislang indes noch nicht erfolgt. 6.4.3. Eine genügende gesetzliche Grundlage findet sich im Übrigen nicht im RPG und –entgegen der Auffassung der Beschwerdeführerin – auch nicht in § 3 lit. a und d RBG. Zwar soll mit der Raumplanung darauf geachtet werden, dass durch raumwirksame Massnahmen die natürlichen Lebensgrundlagen im Kanton Basel-Landschaft geschützt und die naturräumlichökologischen Gegebenheiten in die Planung einbezogen werden und die natürlichen Ressourcen haushälterisch und nachhaltig genutzt bzw. beansprucht werden (§ 3 lit. a und d RBG). Im Bereich der leitungsgebundenen Energie (Elektrizität, Gas, Fernwärme) steht dem Gemeinwesen kraft der Herrschaft über den öffentlichen Grund ein faktisches Monopol zu (vgl. Eidgenössisches Justiz- und Polizeidepartement/Bundesamt für Raumplanung, Erläuterungen zum Bundesgesetz über die Raumplanung, Bern 1981, Art. 19 N 17; Max Imboden / René A. Rhinow , Schweizerische Verwaltungsrechtsprechung, Band II, Basel 1976, Nr. 120 B II/III). Will das Gemeinwesen aber die Alleinherrschaft über die Energieversorgung beanspruchen, muss es ein rechtssatzmässig begründetes Monopol schaffen (sog. rechtliches Monopol), wofür Art. 19 RPG nicht schon die notwendige Grundlage gibt (EJPD/BRP, Erläuterungen RPG, Art. 19 N 17). Anders als bezüglich der elektrischen Energie, die mindestens innerhalb der Bauzonen in ihrer Funktion als Licht- und Kraftspenderin ohne echte Alternative bleibt und insofern zum baupolizeilich notwendigen Standard einer Erschliessung gehört, besteht im Bereich der Wärmeversorgung eine Konkurrenz von Energieträgern, in die das Gemeinwesen unter dem Gesichtspunkt der Eigentumsgarantie sowie der Handels- und Gewerbefreiheit mit Massnahmen, die auf die Monopolisierung eines bestimmten Energieträgers hinauslaufen, nur eingreifen darf, wenn sie auf klarer gesetzlicher Grundlage beruhen, im öffentlichen Interesse liegen und dem Verhältnismässigkeitsgrundsatz genügen (ebenso Urteil des Verwaltungsgerichts Zürich vom 28. Februar 1996, publ. in: Rechenschaftsbericht an den Kantonsrat [RB] 1996 Nr. 72 und ZBl 97/1996, S. 456 ff.). Weil die planmässige Festlegung einer leitungsgebundenen Wärmeversorgung einen Anschluss- und Benutzungszwang beinhaltet und damit andere Energieträger ausschliesst, bedarf es einer besonderen energierechtlichen Grundlage, sei es in einer bau- und planungsrechtlichen Bestimmung mit energierechtlicher Zielsetzung (nominales Raumplanungsrecht) oder in einem energierechtlichen Erlass (funktionales Raumplanungsrecht; vgl. dazu Urteil des Verwaltungsgerichts Zürich vom 28. Februar 1996, publ. in: Rechenschaftsbericht an den Kantonsrat [RB] 1996 Nr. 72, E. 4). Eine solche fehlt jedoch wie erwähnt im Kanton Basel-Landschaft, zumal auch § 3 RBG, welcher einzig allgemeine Ziele und Grundsätze der Raumplanung beinhaltet, den Anforderungen an eine ausreichende gesetzliche Grundlage offensichtlich nicht genügt. Damit erübrigt es sich, im Einzelnen zu prüfen, ob die kommunalen Bestimmungen zur Zone Wärmeverbund auch im öffentlichen Interesse liegen und dem Grundsatz der Verhältnismässigkeit genügen würden (vgl. zum Vorliegen eines öffentlichen Interesses: Urteil des Bundesgerichts [1P.193/1994] vom 12. September 1994, publ. in: ZBl 96/1995 S. 272). 6.5. Demzufolge erweist sich der Entscheid des Regierungsrats, die in den Zonenvorschriften vorgesehen Anschlusspflicht aufzuheben, als rechtmässig, weil dafür eine hinreichende gesetzliche Grundlage fehlt. Die Beschwerde ist damit auch in diesem Punkt abzuweisen.</w:t>
      </w:r>
    </w:p>
    <w:p>
      <w:r>
        <w:rPr>
          <w:b/>
        </w:rPr>
        <w:t>E. 7</w:t>
      </w:r>
    </w:p>
    <w:p>
      <w:r>
        <w:t>Zusammenfassend ist die Beschwerde somit vollumfänglich abzuweisen, soweit darauf einzutreten ist.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Gemäss § 20 Abs. 4 VPO werden den kantonalen Behörden und Gemeinden Verfahrenskosten auferlegt, wenn sie – wie hier – das Kantonsgericht in Anspruch nehmen. Die Verfahrenskosten in der Höhe von Fr. 2’200.-- gehen demgemäss zu Lasten der Beschwerdeführerin. Die Parteikosten sind wettzuschlagen. Demgemäss wird e r k a n n t : 1. Die Beschwerde wird abgewiesen, soweit darauf eingetreten werden kann. 2. Die Verfahrenskosten in der Höhe von Fr. 2'200.-- werden der Beschwerdeführerin auferlegt und mit dem geleisteten Kostenvorschuss in der Höhe von Fr. 1'800.-- verrechnet. Die Beschwerdeführerin hat somit noch Verfahrenskosten in der Höhe von Fr. 400.-- zu bezahlen. 3. Die Parteikosten werden wettgeschlagen. Präsidentin Gerichtsschreiber Gegen diesen Entscheid wurde am 30. Oktober 2014 Beschwerde beim Bundesgericht (Verfahrensnummer 1C_520/2014)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